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8B0D" w14:textId="77777777" w:rsidR="00B611A4" w:rsidRDefault="00581C69" w:rsidP="00374F9A">
      <w:pPr>
        <w:pStyle w:val="Title"/>
        <w:jc w:val="center"/>
      </w:pPr>
      <w:r>
        <w:t>Fact Sheet</w:t>
      </w:r>
      <w:r w:rsidR="000C47EF">
        <w:t xml:space="preserve">: </w:t>
      </w:r>
    </w:p>
    <w:p w14:paraId="1642CE87" w14:textId="63BDDF8A" w:rsidR="00581C69" w:rsidRDefault="000C47EF" w:rsidP="00374F9A">
      <w:pPr>
        <w:pStyle w:val="Title"/>
        <w:jc w:val="center"/>
      </w:pPr>
      <w:r>
        <w:t xml:space="preserve">Local Government (Water Services </w:t>
      </w:r>
      <w:r w:rsidR="00374F9A">
        <w:t>Preliminary Arrangements) Bill</w:t>
      </w:r>
    </w:p>
    <w:p w14:paraId="519E430D" w14:textId="77777777" w:rsidR="00581C69" w:rsidRDefault="00581C69"/>
    <w:p w14:paraId="0ADD647D" w14:textId="65A0BC6E" w:rsidR="00581C69" w:rsidRDefault="00374F9A" w:rsidP="00C87B89">
      <w:pPr>
        <w:jc w:val="both"/>
        <w:rPr>
          <w:rFonts w:eastAsia="Times New Roman"/>
          <w:color w:val="000000"/>
        </w:rPr>
      </w:pPr>
      <w:r>
        <w:t xml:space="preserve">Submissions </w:t>
      </w:r>
      <w:r w:rsidR="00B611A4">
        <w:t>to</w:t>
      </w:r>
      <w:r>
        <w:t xml:space="preserve"> the Local Government (Water Services Preliminary Arrangements) Bill (the </w:t>
      </w:r>
      <w:r w:rsidR="00B611A4">
        <w:t>B</w:t>
      </w:r>
      <w:r>
        <w:t xml:space="preserve">ill) are being received by the </w:t>
      </w:r>
      <w:r>
        <w:rPr>
          <w:rFonts w:eastAsia="Times New Roman"/>
          <w:color w:val="000000"/>
        </w:rPr>
        <w:t xml:space="preserve">Finance and Expenditure Select Committee </w:t>
      </w:r>
      <w:hyperlink r:id="rId5" w:history="1">
        <w:r w:rsidRPr="00374F9A">
          <w:rPr>
            <w:rStyle w:val="Hyperlink"/>
            <w:rFonts w:eastAsia="Times New Roman"/>
          </w:rPr>
          <w:t>via their website</w:t>
        </w:r>
      </w:hyperlink>
      <w:r>
        <w:rPr>
          <w:rFonts w:eastAsia="Times New Roman"/>
          <w:color w:val="000000"/>
        </w:rPr>
        <w:t xml:space="preserve">. Submissions close at 11.59 p.m. Thursday 13 June. </w:t>
      </w:r>
    </w:p>
    <w:p w14:paraId="3EE08E11" w14:textId="081F0327" w:rsidR="00B611A4" w:rsidRDefault="00B611A4" w:rsidP="00C87B8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Bill is part of the coalition governments framework to repeal previous water services legislation</w:t>
      </w:r>
      <w:r w:rsidR="006353DE">
        <w:rPr>
          <w:rFonts w:eastAsia="Times New Roman"/>
          <w:color w:val="000000"/>
        </w:rPr>
        <w:t xml:space="preserve"> and </w:t>
      </w:r>
      <w:r w:rsidR="00B61DEC">
        <w:rPr>
          <w:rFonts w:eastAsia="Times New Roman"/>
          <w:color w:val="000000"/>
        </w:rPr>
        <w:t xml:space="preserve">replace </w:t>
      </w:r>
      <w:r w:rsidR="00E173CD">
        <w:rPr>
          <w:rFonts w:eastAsia="Times New Roman"/>
          <w:color w:val="000000"/>
        </w:rPr>
        <w:t>the National Policy Statement for Freshwater Management (NPS-FM 2020).</w:t>
      </w:r>
    </w:p>
    <w:p w14:paraId="2743C30F" w14:textId="7FECA4B1" w:rsidR="00B611A4" w:rsidRDefault="00B611A4" w:rsidP="00C87B89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</w:t>
      </w:r>
      <w:r w:rsidR="00A708E6">
        <w:rPr>
          <w:rFonts w:eastAsia="Times New Roman"/>
          <w:color w:val="000000"/>
        </w:rPr>
        <w:t xml:space="preserve">water repeal </w:t>
      </w:r>
      <w:r>
        <w:rPr>
          <w:rFonts w:eastAsia="Times New Roman"/>
          <w:color w:val="000000"/>
        </w:rPr>
        <w:t>framework is called ‘Local Water Done Well’ and will be implemented in 3 stages:</w:t>
      </w:r>
    </w:p>
    <w:p w14:paraId="48F61D6B" w14:textId="0AAE8200" w:rsidR="00B611A4" w:rsidRDefault="00B611A4" w:rsidP="00C87B89">
      <w:pPr>
        <w:pStyle w:val="ListParagraph"/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Repealing previous water services legislation (3 Waters)</w:t>
      </w:r>
    </w:p>
    <w:p w14:paraId="4A453F9D" w14:textId="33043365" w:rsidR="00B611A4" w:rsidRDefault="00B611A4" w:rsidP="00C87B89">
      <w:pPr>
        <w:pStyle w:val="ListParagraph"/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Establishing a framework for the new water service system; and</w:t>
      </w:r>
    </w:p>
    <w:p w14:paraId="4F1FF2AB" w14:textId="471E2719" w:rsidR="00B611A4" w:rsidRPr="00B611A4" w:rsidRDefault="00B611A4" w:rsidP="00C87B89">
      <w:pPr>
        <w:pStyle w:val="ListParagraph"/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Establish settings and then begin the transition.</w:t>
      </w:r>
    </w:p>
    <w:p w14:paraId="79A81DF8" w14:textId="67EC2172" w:rsidR="00374F9A" w:rsidRDefault="00374F9A" w:rsidP="00C87B89">
      <w:pPr>
        <w:jc w:val="both"/>
      </w:pPr>
      <w:r>
        <w:t xml:space="preserve">The </w:t>
      </w:r>
      <w:r w:rsidR="00B611A4">
        <w:t>B</w:t>
      </w:r>
      <w:r>
        <w:t>ill’s provisions ha</w:t>
      </w:r>
      <w:r w:rsidR="00B611A4">
        <w:t>s</w:t>
      </w:r>
      <w:r>
        <w:t xml:space="preserve"> three broad categories</w:t>
      </w:r>
      <w:r w:rsidR="00B611A4">
        <w:t xml:space="preserve"> around </w:t>
      </w:r>
      <w:r w:rsidR="0029631C">
        <w:t>Council requirements, however in addition to the above the government has tabled and amendment paper [called the Local Government (Water Services Preliminary Arrangements) Bill].</w:t>
      </w:r>
    </w:p>
    <w:p w14:paraId="7541281B" w14:textId="2E74C8AA" w:rsidR="0029631C" w:rsidRDefault="0029631C" w:rsidP="00C87B89">
      <w:pPr>
        <w:jc w:val="both"/>
      </w:pPr>
      <w:r>
        <w:t>This amendment is seeking to repeal the Te Mana o te Wai hierarchy obligations in the NPS-FM</w:t>
      </w:r>
      <w:r w:rsidR="003F2F92">
        <w:t xml:space="preserve"> 2020</w:t>
      </w:r>
      <w:r>
        <w:t xml:space="preserve"> and that these obligations will not apply when Taumata Arowai sets wastewater </w:t>
      </w:r>
      <w:r w:rsidR="00BD3AE4">
        <w:t xml:space="preserve">environmental performance </w:t>
      </w:r>
      <w:r>
        <w:t>standards.</w:t>
      </w:r>
    </w:p>
    <w:p w14:paraId="1749209B" w14:textId="77777777" w:rsidR="0029631C" w:rsidRDefault="0029631C" w:rsidP="00C87B89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 Mana o te Wai established a hierarchy of obligations structured to ensure that:</w:t>
      </w:r>
    </w:p>
    <w:p w14:paraId="6B74A54F" w14:textId="77777777" w:rsidR="0029631C" w:rsidRPr="00E03D47" w:rsidRDefault="0029631C" w:rsidP="00C87B89">
      <w:pPr>
        <w:pStyle w:val="ListParagraph"/>
        <w:numPr>
          <w:ilvl w:val="0"/>
          <w:numId w:val="4"/>
        </w:numPr>
        <w:jc w:val="both"/>
      </w:pPr>
      <w:r w:rsidRPr="00E03D47">
        <w:t>The health and well-being of water bodies and freshwater ecosystems are prioriti</w:t>
      </w:r>
      <w:r>
        <w:t>s</w:t>
      </w:r>
      <w:r w:rsidRPr="00E03D47">
        <w:t>ed first.</w:t>
      </w:r>
    </w:p>
    <w:p w14:paraId="74F6C115" w14:textId="77777777" w:rsidR="0029631C" w:rsidRPr="00E03D47" w:rsidRDefault="0029631C" w:rsidP="00C87B89">
      <w:pPr>
        <w:pStyle w:val="ListParagraph"/>
        <w:numPr>
          <w:ilvl w:val="0"/>
          <w:numId w:val="4"/>
        </w:numPr>
        <w:jc w:val="both"/>
      </w:pPr>
      <w:r w:rsidRPr="00E03D47">
        <w:t>The needs of the people (including safe drinking water) follow, once the first obligation is met.</w:t>
      </w:r>
    </w:p>
    <w:p w14:paraId="395A265C" w14:textId="77777777" w:rsidR="0029631C" w:rsidRDefault="0029631C" w:rsidP="00C87B89">
      <w:pPr>
        <w:pStyle w:val="ListParagraph"/>
        <w:numPr>
          <w:ilvl w:val="0"/>
          <w:numId w:val="4"/>
        </w:numPr>
        <w:jc w:val="both"/>
      </w:pPr>
      <w:r w:rsidRPr="00E03D47">
        <w:t>Thirdly, the ability of people and communities to provide for their social, economic, and cultural well-being is considered, as long as it doesn't compromise the first two priorities.</w:t>
      </w:r>
    </w:p>
    <w:p w14:paraId="4A17A02F" w14:textId="77777777" w:rsidR="0029631C" w:rsidRDefault="0029631C" w:rsidP="00C87B89">
      <w:pPr>
        <w:jc w:val="both"/>
      </w:pPr>
    </w:p>
    <w:p w14:paraId="7FD05BED" w14:textId="05AABF3F" w:rsidR="007B68E2" w:rsidRDefault="007B68E2" w:rsidP="00C87B89">
      <w:pPr>
        <w:jc w:val="both"/>
      </w:pPr>
      <w:r>
        <w:t>Taumata Arowai is an independent Crown Entity water services regulator, established to oversee and ensure the quality and safety of the country’s drinking water, wastewater, and stormwater services.</w:t>
      </w:r>
      <w:r w:rsidR="00B863D1">
        <w:t xml:space="preserve"> </w:t>
      </w:r>
      <w:r>
        <w:t xml:space="preserve"> It was establishe</w:t>
      </w:r>
      <w:r w:rsidR="0029631C">
        <w:t>d</w:t>
      </w:r>
      <w:r>
        <w:t xml:space="preserve"> following the Havelock North water contamination incident and officially established in March 2021. </w:t>
      </w:r>
    </w:p>
    <w:p w14:paraId="32EDB01C" w14:textId="77777777" w:rsidR="00E03D47" w:rsidRDefault="00E03D47" w:rsidP="00C87B89">
      <w:pPr>
        <w:jc w:val="both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Te Mana o Te Wai</w:t>
      </w:r>
      <w:r w:rsidRPr="00E03D47">
        <w:rPr>
          <w:rFonts w:eastAsia="Times New Roman"/>
        </w:rPr>
        <w:t xml:space="preserve"> has been part of the </w:t>
      </w:r>
      <w:r w:rsidRPr="00E03D47">
        <w:rPr>
          <w:rFonts w:eastAsia="Times New Roman"/>
          <w:color w:val="000000"/>
        </w:rPr>
        <w:t>National Policy Statement for Freshwater Management</w:t>
      </w:r>
      <w:r w:rsidRPr="00E03D47">
        <w:rPr>
          <w:rFonts w:eastAsia="Times New Roman"/>
          <w:b/>
          <w:bCs/>
          <w:color w:val="000000"/>
        </w:rPr>
        <w:t xml:space="preserve"> </w:t>
      </w:r>
      <w:r w:rsidRPr="00E03D47">
        <w:rPr>
          <w:rFonts w:eastAsia="Times New Roman"/>
        </w:rPr>
        <w:t>since 2014</w:t>
      </w:r>
      <w:r>
        <w:rPr>
          <w:rFonts w:eastAsia="Times New Roman"/>
        </w:rPr>
        <w:t xml:space="preserve"> and remains for now, but there are concerns that this bill is constructing alternative governance principles for water standards.</w:t>
      </w:r>
    </w:p>
    <w:p w14:paraId="3F1FF610" w14:textId="7834CBF7" w:rsidR="00E03D47" w:rsidRDefault="00E03D47" w:rsidP="00C87B89">
      <w:pPr>
        <w:jc w:val="both"/>
        <w:rPr>
          <w:rFonts w:eastAsia="Times New Roman"/>
        </w:rPr>
      </w:pPr>
      <w:r>
        <w:rPr>
          <w:rFonts w:eastAsia="Times New Roman"/>
        </w:rPr>
        <w:t>Concerns:</w:t>
      </w:r>
    </w:p>
    <w:p w14:paraId="0B078A49" w14:textId="1C20A5EC" w:rsidR="00F27F85" w:rsidRPr="00FB4EF4" w:rsidRDefault="00F27F85" w:rsidP="001943A4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Wai is protected under the second article of Te Tiriti o Waitangi. </w:t>
      </w:r>
      <w:r w:rsidR="001943A4">
        <w:t xml:space="preserve"> </w:t>
      </w:r>
      <w:r>
        <w:t xml:space="preserve">The degradation of the mauri of water deprives Māori of rangatiratanga. </w:t>
      </w:r>
    </w:p>
    <w:p w14:paraId="4F6ED551" w14:textId="24B6A864" w:rsidR="00FB4EF4" w:rsidRPr="00CC7190" w:rsidRDefault="00CC7190" w:rsidP="00CC7190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The Bill fails to incorporate the principles of Te Tiriti o Waitangi, particularly in terms of partnership and co-governance in appropriately managing this taonga (e.g.) some Treaty settlements have specific </w:t>
      </w:r>
      <w:r w:rsidR="00613A1D">
        <w:t xml:space="preserve">relationships with water bodies </w:t>
      </w:r>
      <w:r w:rsidR="007749DD">
        <w:t>and their associated receiving environments.</w:t>
      </w:r>
    </w:p>
    <w:p w14:paraId="2713A94E" w14:textId="24BC2D47" w:rsidR="000F5A38" w:rsidRPr="000F5A38" w:rsidRDefault="000F5A38" w:rsidP="00C87B89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Wai is a taonga that holds deep cultural and spiritual significance for Māori. </w:t>
      </w:r>
      <w:r w:rsidR="00077C08">
        <w:t xml:space="preserve"> </w:t>
      </w:r>
      <w:r>
        <w:t>The Bill does not adequately reflect the importance of wai to Māori cultural identity and wellbeing.</w:t>
      </w:r>
    </w:p>
    <w:p w14:paraId="1E3BBA26" w14:textId="3FCC8D9B" w:rsidR="00122B0F" w:rsidRPr="004B3DE9" w:rsidRDefault="000F5A38" w:rsidP="00C87B89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Taumata Arowai is still tasked with </w:t>
      </w:r>
      <w:r w:rsidR="00122B0F">
        <w:t xml:space="preserve">engaging with iwi and hapū when developing draft water standards, however the voices of iwi and hapū are </w:t>
      </w:r>
      <w:r w:rsidR="00B4090B">
        <w:t>largely</w:t>
      </w:r>
      <w:r w:rsidR="00122B0F">
        <w:t xml:space="preserve"> marginalised </w:t>
      </w:r>
      <w:r w:rsidR="00B4090B">
        <w:t xml:space="preserve">and not </w:t>
      </w:r>
      <w:r w:rsidR="006123C2">
        <w:t>considered</w:t>
      </w:r>
      <w:r w:rsidR="00B4090B">
        <w:t xml:space="preserve"> </w:t>
      </w:r>
      <w:r w:rsidR="00E33FCF">
        <w:t xml:space="preserve">in consenting processes and decisions </w:t>
      </w:r>
      <w:r w:rsidR="004542A2">
        <w:t>when advocating</w:t>
      </w:r>
      <w:r w:rsidR="00122B0F">
        <w:t xml:space="preserve"> around what environmental protection looks like for those receiving environments associated with wastewater treatment plants</w:t>
      </w:r>
      <w:r w:rsidR="003C04F2">
        <w:t>.</w:t>
      </w:r>
    </w:p>
    <w:p w14:paraId="738FE07A" w14:textId="52E6BD84" w:rsidR="004B3DE9" w:rsidRPr="00C02EF5" w:rsidRDefault="001307A4" w:rsidP="00C02EF5">
      <w:pPr>
        <w:pStyle w:val="ListParagraph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kern w:val="0"/>
          <w:lang w:val="en-GB"/>
        </w:rPr>
      </w:pPr>
      <w:r>
        <w:t>Maintain</w:t>
      </w:r>
      <w:r w:rsidR="004C7108">
        <w:t>ing the</w:t>
      </w:r>
      <w:r>
        <w:t xml:space="preserve"> hierarchical obligations of </w:t>
      </w:r>
      <w:r w:rsidR="004B3DE9">
        <w:t xml:space="preserve">Te Mana o te Wai </w:t>
      </w:r>
      <w:r w:rsidR="004C7108">
        <w:t xml:space="preserve">is fundamental </w:t>
      </w:r>
      <w:r w:rsidR="002C6D82">
        <w:t>as iwi and hap</w:t>
      </w:r>
      <w:r w:rsidR="00562433">
        <w:t>ū</w:t>
      </w:r>
      <w:r w:rsidR="002C6D82">
        <w:t xml:space="preserve"> </w:t>
      </w:r>
      <w:r w:rsidR="00C02EF5" w:rsidRPr="00C02EF5">
        <w:rPr>
          <w:rFonts w:cs="Helvetica"/>
          <w:color w:val="000000"/>
          <w:kern w:val="0"/>
          <w:lang w:val="en-GB"/>
        </w:rPr>
        <w:t>have a key and crucial role to play in wastewater management in Aotearoa, including where resource consent permissions may be inconsistent with local tikanga and cultural values.</w:t>
      </w:r>
    </w:p>
    <w:p w14:paraId="3D01200F" w14:textId="32EFF1A7" w:rsidR="006D7CD3" w:rsidRPr="006D7CD3" w:rsidRDefault="006D7CD3" w:rsidP="00C87B89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The </w:t>
      </w:r>
      <w:r w:rsidR="00122B0F">
        <w:t>B</w:t>
      </w:r>
      <w:r>
        <w:t xml:space="preserve">ill’s approach to water services </w:t>
      </w:r>
      <w:r w:rsidR="00122B0F">
        <w:t>is</w:t>
      </w:r>
      <w:r>
        <w:t xml:space="preserve"> undermining the mana of iwi and hapū over their water resources. </w:t>
      </w:r>
      <w:r w:rsidR="00156F2E">
        <w:t xml:space="preserve"> </w:t>
      </w:r>
      <w:r w:rsidR="00122B0F">
        <w:t>C</w:t>
      </w:r>
      <w:r>
        <w:t>entrali</w:t>
      </w:r>
      <w:r w:rsidR="00122B0F">
        <w:t>s</w:t>
      </w:r>
      <w:r>
        <w:t xml:space="preserve">ing control and limiting local </w:t>
      </w:r>
      <w:r w:rsidR="00156F2E">
        <w:t xml:space="preserve">input </w:t>
      </w:r>
      <w:r w:rsidR="00122B0F">
        <w:t>will</w:t>
      </w:r>
      <w:r>
        <w:t xml:space="preserve"> conflict with the customary rights and responsibilities of Māori as kaitiaki of their waterways</w:t>
      </w:r>
      <w:r w:rsidR="00156F2E">
        <w:t xml:space="preserve"> and water resources</w:t>
      </w:r>
      <w:r>
        <w:t>.</w:t>
      </w:r>
    </w:p>
    <w:p w14:paraId="065CA0CA" w14:textId="04A84A8E" w:rsidR="006D7CD3" w:rsidRPr="006D7CD3" w:rsidRDefault="006D7CD3" w:rsidP="00C87B89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The consultation process around the </w:t>
      </w:r>
      <w:r w:rsidR="00122B0F">
        <w:t>B</w:t>
      </w:r>
      <w:r>
        <w:t>ill is insufficient and has not adequately accounted for the unique relationship that Māori have with their water bodies.</w:t>
      </w:r>
    </w:p>
    <w:p w14:paraId="3EEF38B4" w14:textId="1F4DB666" w:rsidR="006D7CD3" w:rsidRPr="00E03D47" w:rsidRDefault="006D7CD3" w:rsidP="00C87B89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>
        <w:t xml:space="preserve">The financial and administrative burdens imposed by the </w:t>
      </w:r>
      <w:r w:rsidR="00F80C8F">
        <w:t>B</w:t>
      </w:r>
      <w:r>
        <w:t xml:space="preserve">ill could disproportionately affect Māori communities, particularly those served by smaller </w:t>
      </w:r>
      <w:r w:rsidR="001D03A8">
        <w:t>C</w:t>
      </w:r>
      <w:r>
        <w:t>ouncils that might struggle to meet the new requirements. This could lead to increased costs for water services, impacting economically vulnerable Māori households.</w:t>
      </w:r>
    </w:p>
    <w:p w14:paraId="2A5FCA16" w14:textId="32C1AE8A" w:rsidR="006D7CD3" w:rsidRDefault="006D7CD3" w:rsidP="006C7E65">
      <w:pPr>
        <w:jc w:val="both"/>
      </w:pPr>
      <w:r>
        <w:t>Historically, governance of water under English Common Law, Catchment Commissions, and the R</w:t>
      </w:r>
      <w:r w:rsidR="00F80C8F">
        <w:t>MA</w:t>
      </w:r>
      <w:r>
        <w:t xml:space="preserve"> have failed to halt the deterioration of water quality. </w:t>
      </w:r>
      <w:r w:rsidR="001077B7">
        <w:t xml:space="preserve"> </w:t>
      </w:r>
      <w:r>
        <w:t xml:space="preserve">This </w:t>
      </w:r>
      <w:r w:rsidR="00F80C8F">
        <w:t>B</w:t>
      </w:r>
      <w:r>
        <w:t>ill</w:t>
      </w:r>
      <w:r w:rsidR="001C5040">
        <w:t xml:space="preserve">, in repealing the hierarchical obligations of Te Mana o te Wai, </w:t>
      </w:r>
      <w:r>
        <w:t xml:space="preserve">will further weaken the ability of communities to protect and enhance their water bodies. </w:t>
      </w:r>
    </w:p>
    <w:p w14:paraId="40D525D4" w14:textId="77777777" w:rsidR="00AC05C3" w:rsidRDefault="00AC05C3" w:rsidP="006C7E65">
      <w:pPr>
        <w:jc w:val="both"/>
      </w:pPr>
    </w:p>
    <w:p w14:paraId="79E0C673" w14:textId="38B9B36E" w:rsidR="00AC05C3" w:rsidRDefault="00AC05C3" w:rsidP="006C7E65">
      <w:pPr>
        <w:jc w:val="both"/>
      </w:pPr>
      <w:r>
        <w:t>NB:  Just as an aside, whilst this Govt is looking to re</w:t>
      </w:r>
      <w:r w:rsidR="009167EA">
        <w:t>peal the hierarchical obligations</w:t>
      </w:r>
      <w:r w:rsidR="00D752E2">
        <w:t>, the 6 principles attached to Te Mana o te Wai</w:t>
      </w:r>
      <w:r w:rsidR="009427F3">
        <w:t xml:space="preserve"> are still intact</w:t>
      </w:r>
      <w:r w:rsidR="00D752E2">
        <w:t>:</w:t>
      </w:r>
    </w:p>
    <w:p w14:paraId="3835F07A" w14:textId="7F13F122" w:rsidR="00D752E2" w:rsidRDefault="00B9743C" w:rsidP="00D752E2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Mana whakahaere</w:t>
      </w:r>
    </w:p>
    <w:p w14:paraId="7BB24C71" w14:textId="77777777" w:rsidR="00B9743C" w:rsidRPr="00B9743C" w:rsidRDefault="00B9743C" w:rsidP="00B9743C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  <w:lang w:val="en-GB"/>
        </w:rPr>
      </w:pPr>
      <w:r w:rsidRPr="00B9743C">
        <w:rPr>
          <w:rFonts w:cs="Helvetica"/>
          <w:color w:val="000000"/>
          <w:kern w:val="0"/>
          <w:lang w:val="en-GB"/>
        </w:rPr>
        <w:lastRenderedPageBreak/>
        <w:t>Kaitiakitanga</w:t>
      </w:r>
    </w:p>
    <w:p w14:paraId="022B72FB" w14:textId="75FD6230" w:rsidR="00B9743C" w:rsidRPr="00B9743C" w:rsidRDefault="00B9743C" w:rsidP="00B9743C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  <w:lang w:val="en-GB"/>
        </w:rPr>
      </w:pPr>
      <w:r w:rsidRPr="00B9743C">
        <w:rPr>
          <w:rFonts w:cs="Helvetica"/>
          <w:color w:val="000000"/>
          <w:kern w:val="0"/>
          <w:lang w:val="en-GB"/>
        </w:rPr>
        <w:t>Manaakitanga</w:t>
      </w:r>
    </w:p>
    <w:p w14:paraId="57E6B843" w14:textId="44076495" w:rsidR="00B9743C" w:rsidRPr="00B9743C" w:rsidRDefault="00B9743C" w:rsidP="00B9743C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  <w:lang w:val="en-GB"/>
        </w:rPr>
      </w:pPr>
      <w:r w:rsidRPr="00B9743C">
        <w:rPr>
          <w:rFonts w:cs="Helvetica"/>
          <w:color w:val="000000"/>
          <w:kern w:val="0"/>
          <w:lang w:val="en-GB"/>
        </w:rPr>
        <w:t>Governance</w:t>
      </w:r>
    </w:p>
    <w:p w14:paraId="4937BB35" w14:textId="39AF14BD" w:rsidR="00B9743C" w:rsidRPr="00B9743C" w:rsidRDefault="00B9743C" w:rsidP="00B9743C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"/>
          <w:color w:val="000000"/>
          <w:kern w:val="0"/>
          <w:lang w:val="en-GB"/>
        </w:rPr>
      </w:pPr>
      <w:r w:rsidRPr="00B9743C">
        <w:rPr>
          <w:rFonts w:cs="Helvetica"/>
          <w:color w:val="000000"/>
          <w:kern w:val="0"/>
          <w:lang w:val="en-GB"/>
        </w:rPr>
        <w:t>Stewardship</w:t>
      </w:r>
      <w:r w:rsidRPr="00B9743C">
        <w:rPr>
          <w:rFonts w:cs="Helvetica"/>
          <w:color w:val="000000"/>
          <w:kern w:val="0"/>
          <w:lang w:val="en-GB"/>
        </w:rPr>
        <w:t>; and</w:t>
      </w:r>
    </w:p>
    <w:p w14:paraId="6E27D259" w14:textId="2B5FB0F4" w:rsidR="00B9743C" w:rsidRPr="001B0866" w:rsidRDefault="00B9743C" w:rsidP="001B0866">
      <w:pPr>
        <w:pStyle w:val="ListParagraph"/>
        <w:numPr>
          <w:ilvl w:val="0"/>
          <w:numId w:val="10"/>
        </w:numPr>
        <w:ind w:left="567" w:hanging="207"/>
        <w:jc w:val="both"/>
        <w:rPr>
          <w:rFonts w:eastAsia="Times New Roman"/>
        </w:rPr>
      </w:pPr>
      <w:r w:rsidRPr="00B9743C">
        <w:rPr>
          <w:rFonts w:cs="Helvetica"/>
          <w:color w:val="000000"/>
          <w:kern w:val="0"/>
          <w:lang w:val="en-GB"/>
        </w:rPr>
        <w:t>Care and respect</w:t>
      </w:r>
      <w:r w:rsidR="00801EFE">
        <w:rPr>
          <w:rFonts w:cs="Helvetica"/>
          <w:color w:val="000000"/>
          <w:kern w:val="0"/>
          <w:lang w:val="en-GB"/>
        </w:rPr>
        <w:t>.</w:t>
      </w:r>
    </w:p>
    <w:p w14:paraId="4AF809AA" w14:textId="66B78B51" w:rsidR="001B0866" w:rsidRPr="001B0866" w:rsidRDefault="0094271B" w:rsidP="001B0866">
      <w:pPr>
        <w:jc w:val="both"/>
        <w:rPr>
          <w:rFonts w:eastAsia="Times New Roman"/>
        </w:rPr>
      </w:pPr>
      <w:r>
        <w:rPr>
          <w:rFonts w:eastAsia="Times New Roman"/>
        </w:rPr>
        <w:t xml:space="preserve">However, </w:t>
      </w:r>
      <w:r w:rsidR="00801EFE">
        <w:rPr>
          <w:rFonts w:eastAsia="Times New Roman"/>
        </w:rPr>
        <w:t xml:space="preserve">this government is </w:t>
      </w:r>
      <w:r w:rsidR="00326B9C">
        <w:rPr>
          <w:rFonts w:eastAsia="Times New Roman"/>
        </w:rPr>
        <w:t>looking</w:t>
      </w:r>
      <w:r w:rsidR="00801EFE">
        <w:rPr>
          <w:rFonts w:eastAsia="Times New Roman"/>
        </w:rPr>
        <w:t xml:space="preserve"> to </w:t>
      </w:r>
      <w:r w:rsidR="003D4DF7">
        <w:rPr>
          <w:rFonts w:eastAsia="Times New Roman"/>
        </w:rPr>
        <w:t>replac</w:t>
      </w:r>
      <w:r w:rsidR="00801EFE">
        <w:rPr>
          <w:rFonts w:eastAsia="Times New Roman"/>
        </w:rPr>
        <w:t>e</w:t>
      </w:r>
      <w:r w:rsidR="003D4DF7">
        <w:rPr>
          <w:rFonts w:eastAsia="Times New Roman"/>
        </w:rPr>
        <w:t xml:space="preserve"> the NPS-FM 2020 as part of the wider RMA Reform package</w:t>
      </w:r>
      <w:r w:rsidR="00326B9C">
        <w:rPr>
          <w:rFonts w:eastAsia="Times New Roman"/>
        </w:rPr>
        <w:t>.</w:t>
      </w:r>
    </w:p>
    <w:p w14:paraId="63C2CEE5" w14:textId="77777777" w:rsidR="0098408F" w:rsidRDefault="0098408F" w:rsidP="00C87B89">
      <w:pPr>
        <w:jc w:val="both"/>
      </w:pPr>
    </w:p>
    <w:p w14:paraId="2203E716" w14:textId="77777777" w:rsidR="00A12F39" w:rsidRPr="009432CD" w:rsidRDefault="00A12F39" w:rsidP="009432CD">
      <w:pPr>
        <w:jc w:val="both"/>
      </w:pPr>
    </w:p>
    <w:sectPr w:rsidR="00A12F39" w:rsidRPr="00943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D9B"/>
    <w:multiLevelType w:val="hybridMultilevel"/>
    <w:tmpl w:val="B990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3EA7"/>
    <w:multiLevelType w:val="multilevel"/>
    <w:tmpl w:val="AB4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E5CD0"/>
    <w:multiLevelType w:val="multilevel"/>
    <w:tmpl w:val="B93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65D38"/>
    <w:multiLevelType w:val="multilevel"/>
    <w:tmpl w:val="12C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B645D"/>
    <w:multiLevelType w:val="hybridMultilevel"/>
    <w:tmpl w:val="11A89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F3A"/>
    <w:multiLevelType w:val="hybridMultilevel"/>
    <w:tmpl w:val="E6141B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73E2"/>
    <w:multiLevelType w:val="multilevel"/>
    <w:tmpl w:val="11B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66A3D"/>
    <w:multiLevelType w:val="hybridMultilevel"/>
    <w:tmpl w:val="DDD01F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522E4"/>
    <w:multiLevelType w:val="hybridMultilevel"/>
    <w:tmpl w:val="59EABD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3EF9"/>
    <w:multiLevelType w:val="hybridMultilevel"/>
    <w:tmpl w:val="2B665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90785">
    <w:abstractNumId w:val="2"/>
  </w:num>
  <w:num w:numId="2" w16cid:durableId="1487431388">
    <w:abstractNumId w:val="3"/>
  </w:num>
  <w:num w:numId="3" w16cid:durableId="1593860158">
    <w:abstractNumId w:val="9"/>
  </w:num>
  <w:num w:numId="4" w16cid:durableId="1162041492">
    <w:abstractNumId w:val="7"/>
  </w:num>
  <w:num w:numId="5" w16cid:durableId="1016267608">
    <w:abstractNumId w:val="8"/>
  </w:num>
  <w:num w:numId="6" w16cid:durableId="951279028">
    <w:abstractNumId w:val="6"/>
  </w:num>
  <w:num w:numId="7" w16cid:durableId="1459421784">
    <w:abstractNumId w:val="1"/>
  </w:num>
  <w:num w:numId="8" w16cid:durableId="432673660">
    <w:abstractNumId w:val="5"/>
  </w:num>
  <w:num w:numId="9" w16cid:durableId="1426270678">
    <w:abstractNumId w:val="4"/>
  </w:num>
  <w:num w:numId="10" w16cid:durableId="65144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69"/>
    <w:rsid w:val="00012623"/>
    <w:rsid w:val="00077C08"/>
    <w:rsid w:val="000C47EF"/>
    <w:rsid w:val="000F3E04"/>
    <w:rsid w:val="000F5A38"/>
    <w:rsid w:val="001077B7"/>
    <w:rsid w:val="00122B0F"/>
    <w:rsid w:val="001307A4"/>
    <w:rsid w:val="00156F2E"/>
    <w:rsid w:val="001943A4"/>
    <w:rsid w:val="001A1F8E"/>
    <w:rsid w:val="001B0866"/>
    <w:rsid w:val="001C5040"/>
    <w:rsid w:val="001D03A8"/>
    <w:rsid w:val="00237A3B"/>
    <w:rsid w:val="0029631C"/>
    <w:rsid w:val="002C6D82"/>
    <w:rsid w:val="00307B1A"/>
    <w:rsid w:val="00326B9C"/>
    <w:rsid w:val="00374F9A"/>
    <w:rsid w:val="003C04F2"/>
    <w:rsid w:val="003D4DF7"/>
    <w:rsid w:val="003F2F92"/>
    <w:rsid w:val="004542A2"/>
    <w:rsid w:val="004654C1"/>
    <w:rsid w:val="004B3DE9"/>
    <w:rsid w:val="004B527D"/>
    <w:rsid w:val="004C7108"/>
    <w:rsid w:val="00562433"/>
    <w:rsid w:val="00581C69"/>
    <w:rsid w:val="006123C2"/>
    <w:rsid w:val="00613A1D"/>
    <w:rsid w:val="006353DE"/>
    <w:rsid w:val="006C502B"/>
    <w:rsid w:val="006C7E65"/>
    <w:rsid w:val="006D7CD3"/>
    <w:rsid w:val="007749DD"/>
    <w:rsid w:val="007B68E2"/>
    <w:rsid w:val="00801EFE"/>
    <w:rsid w:val="009001A2"/>
    <w:rsid w:val="009167EA"/>
    <w:rsid w:val="0094271B"/>
    <w:rsid w:val="009427F3"/>
    <w:rsid w:val="009432CD"/>
    <w:rsid w:val="0098408F"/>
    <w:rsid w:val="009A7954"/>
    <w:rsid w:val="00A12F39"/>
    <w:rsid w:val="00A33D63"/>
    <w:rsid w:val="00A708E6"/>
    <w:rsid w:val="00AC05C3"/>
    <w:rsid w:val="00B4090B"/>
    <w:rsid w:val="00B42A01"/>
    <w:rsid w:val="00B611A4"/>
    <w:rsid w:val="00B61DEC"/>
    <w:rsid w:val="00B863D1"/>
    <w:rsid w:val="00B9743C"/>
    <w:rsid w:val="00BD3AE4"/>
    <w:rsid w:val="00C02EF5"/>
    <w:rsid w:val="00C87B89"/>
    <w:rsid w:val="00CC7190"/>
    <w:rsid w:val="00CE0E4F"/>
    <w:rsid w:val="00D65CB8"/>
    <w:rsid w:val="00D752E2"/>
    <w:rsid w:val="00DE6914"/>
    <w:rsid w:val="00E03D47"/>
    <w:rsid w:val="00E04441"/>
    <w:rsid w:val="00E173CD"/>
    <w:rsid w:val="00E33FCF"/>
    <w:rsid w:val="00E847EE"/>
    <w:rsid w:val="00ED46DB"/>
    <w:rsid w:val="00F27F85"/>
    <w:rsid w:val="00F80C8F"/>
    <w:rsid w:val="00F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51EC7"/>
  <w15:chartTrackingRefBased/>
  <w15:docId w15:val="{152569F0-50DE-42EB-AF60-7AAE4F7B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14"/>
    <w:pPr>
      <w:spacing w:after="120"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D65CB8"/>
    <w:pPr>
      <w:spacing w:before="120" w:after="0" w:line="240" w:lineRule="auto"/>
      <w:ind w:left="720" w:hanging="720"/>
    </w:pPr>
    <w:rPr>
      <w:rFonts w:eastAsia="Times New Roman" w:cs="Times New Roman"/>
      <w:kern w:val="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81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C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C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03D47"/>
    <w:rPr>
      <w:b/>
      <w:bCs/>
    </w:rPr>
  </w:style>
  <w:style w:type="character" w:customStyle="1" w:styleId="fontstyle01">
    <w:name w:val="fontstyle01"/>
    <w:basedOn w:val="DefaultParagraphFont"/>
    <w:rsid w:val="00E03D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03D47"/>
    <w:rPr>
      <w:rFonts w:ascii="Calibri-Bold" w:hAnsi="Calibri-Bold" w:hint="default"/>
      <w:b/>
      <w:bCs/>
      <w:i w:val="0"/>
      <w:iCs w:val="0"/>
      <w:color w:val="0F7B7D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611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liament.nz/en/pb/sc/make-a-submission/document/54SCFIN_SCF_6938CA52-4819-45DE-A6FF-08DC80370942/local-government-water-services-preliminary-arrangements-b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Bruce-Iri</dc:creator>
  <cp:keywords/>
  <dc:description/>
  <cp:lastModifiedBy>Phillip Grimshaw</cp:lastModifiedBy>
  <cp:revision>53</cp:revision>
  <dcterms:created xsi:type="dcterms:W3CDTF">2024-06-12T19:28:00Z</dcterms:created>
  <dcterms:modified xsi:type="dcterms:W3CDTF">2024-06-12T20:23:00Z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b0a35960-d8d5-4416-b2e0-7e25d3772a80</vt:lpwstr>
  </property>
</Properties>
</file>